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0" w:rsidRPr="00DC18B6" w:rsidRDefault="00E45A60" w:rsidP="002F6898">
      <w:pPr>
        <w:tabs>
          <w:tab w:val="left" w:pos="77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101"/>
        <w:gridCol w:w="992"/>
        <w:gridCol w:w="1417"/>
        <w:gridCol w:w="709"/>
        <w:gridCol w:w="945"/>
        <w:gridCol w:w="614"/>
        <w:gridCol w:w="331"/>
        <w:gridCol w:w="945"/>
        <w:gridCol w:w="142"/>
        <w:gridCol w:w="283"/>
        <w:gridCol w:w="142"/>
        <w:gridCol w:w="833"/>
        <w:gridCol w:w="159"/>
        <w:gridCol w:w="1276"/>
      </w:tblGrid>
      <w:tr w:rsidR="00A207BE" w:rsidRPr="00A962A4" w:rsidTr="00E45A60">
        <w:tc>
          <w:tcPr>
            <w:tcW w:w="9889" w:type="dxa"/>
            <w:gridSpan w:val="14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(Код ) Базалық мәліметтер жүйесі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07BE" w:rsidRPr="00DC18B6" w:rsidRDefault="00A207BE" w:rsidP="00C53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семестр  201</w:t>
            </w:r>
            <w:r w:rsidR="00C53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-201</w:t>
            </w:r>
            <w:r w:rsidR="00C531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 </w:t>
            </w:r>
          </w:p>
        </w:tc>
      </w:tr>
      <w:tr w:rsidR="00A207BE" w:rsidRPr="00DC18B6" w:rsidTr="00E4537E">
        <w:trPr>
          <w:trHeight w:val="265"/>
        </w:trPr>
        <w:tc>
          <w:tcPr>
            <w:tcW w:w="2093" w:type="dxa"/>
            <w:gridSpan w:val="2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417" w:type="dxa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сағаттар саны</w:t>
            </w:r>
          </w:p>
        </w:tc>
        <w:tc>
          <w:tcPr>
            <w:tcW w:w="1400" w:type="dxa"/>
            <w:gridSpan w:val="4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редит</w:t>
            </w:r>
            <w:proofErr w:type="spellEnd"/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435" w:type="dxa"/>
            <w:gridSpan w:val="2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207BE" w:rsidRPr="00DC18B6" w:rsidTr="00E4537E">
        <w:trPr>
          <w:trHeight w:val="265"/>
        </w:trPr>
        <w:tc>
          <w:tcPr>
            <w:tcW w:w="2093" w:type="dxa"/>
            <w:gridSpan w:val="2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</w:t>
            </w:r>
          </w:p>
        </w:tc>
        <w:tc>
          <w:tcPr>
            <w:tcW w:w="1400" w:type="dxa"/>
            <w:gridSpan w:val="4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7BE" w:rsidRPr="00DC18B6" w:rsidTr="00E4537E">
        <w:tc>
          <w:tcPr>
            <w:tcW w:w="2093" w:type="dxa"/>
            <w:gridSpan w:val="2"/>
          </w:tcPr>
          <w:p w:rsidR="00080DDB" w:rsidRPr="00DC18B6" w:rsidRDefault="00080DDB" w:rsidP="00080DDB">
            <w:pPr>
              <w:pStyle w:val="aa"/>
              <w:rPr>
                <w:color w:val="000000"/>
                <w:lang w:val="en-US" w:eastAsia="en-GB"/>
              </w:rPr>
            </w:pPr>
            <w:r w:rsidRPr="00DC18B6">
              <w:rPr>
                <w:color w:val="000000"/>
                <w:lang w:val="en-US" w:eastAsia="en-GB"/>
              </w:rPr>
              <w:t>BAOB5309</w:t>
            </w:r>
          </w:p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7BE" w:rsidRPr="00DC18B6" w:rsidRDefault="00080DDB" w:rsidP="00080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Биомассаны алу және өңдеу биотехнологиясы</w:t>
            </w:r>
          </w:p>
        </w:tc>
        <w:tc>
          <w:tcPr>
            <w:tcW w:w="709" w:type="dxa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A207BE" w:rsidRPr="00DC18B6" w:rsidRDefault="00334C6C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207BE" w:rsidRPr="00DC18B6" w:rsidRDefault="00715561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</w:tcPr>
          <w:p w:rsidR="00A207BE" w:rsidRPr="00DC18B6" w:rsidRDefault="00715561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7BE" w:rsidRPr="00DC18B6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96" w:type="dxa"/>
            <w:gridSpan w:val="12"/>
          </w:tcPr>
          <w:p w:rsidR="00A207BE" w:rsidRPr="00DC18B6" w:rsidRDefault="00A207BE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Микробиология және вирусология, микроорганизмдер биотехнологиясы,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тағамдық биотехнология, 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биотехнология.</w:t>
            </w:r>
          </w:p>
        </w:tc>
      </w:tr>
      <w:tr w:rsidR="00A207BE" w:rsidRPr="00DC18B6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685" w:type="dxa"/>
            <w:gridSpan w:val="4"/>
          </w:tcPr>
          <w:p w:rsidR="00A207BE" w:rsidRPr="00DC18B6" w:rsidRDefault="00A207BE" w:rsidP="00334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Сыдықбекова Райхан Конаевна биология ғылымдарының кандидаты, доцент м.а.  </w:t>
            </w:r>
          </w:p>
        </w:tc>
        <w:tc>
          <w:tcPr>
            <w:tcW w:w="1701" w:type="dxa"/>
            <w:gridSpan w:val="4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сағаттар </w:t>
            </w:r>
          </w:p>
        </w:tc>
        <w:tc>
          <w:tcPr>
            <w:tcW w:w="2410" w:type="dxa"/>
            <w:gridSpan w:val="4"/>
            <w:vMerge w:val="restart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207BE" w:rsidRPr="00DC18B6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5" w:type="dxa"/>
            <w:gridSpan w:val="4"/>
          </w:tcPr>
          <w:p w:rsidR="00A207BE" w:rsidRPr="00DC18B6" w:rsidRDefault="00A906D6" w:rsidP="00E45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A207BE" w:rsidRPr="00DC18B6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kk-KZ"/>
                </w:rPr>
                <w:t>Raihan.Sydykbekova.@</w:t>
              </w:r>
              <w:r w:rsidR="00A207BE" w:rsidRPr="00DC18B6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en-US"/>
                </w:rPr>
                <w:t>kaznu</w:t>
              </w:r>
              <w:r w:rsidR="00A207BE" w:rsidRPr="00DC18B6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.</w:t>
              </w:r>
              <w:r w:rsidR="00A207BE" w:rsidRPr="00DC18B6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en-US"/>
                </w:rPr>
                <w:t>kz</w:t>
              </w:r>
            </w:hyperlink>
            <w:r w:rsidR="00A207BE" w:rsidRPr="00DC1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hyperlink r:id="rId6" w:history="1">
              <w:r w:rsidR="00A207BE" w:rsidRPr="00DC18B6">
                <w:rPr>
                  <w:rStyle w:val="ac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kk-KZ"/>
                </w:rPr>
                <w:t>raihan_07_77@mail.ru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BE" w:rsidRPr="00DC18B6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3685" w:type="dxa"/>
            <w:gridSpan w:val="4"/>
          </w:tcPr>
          <w:p w:rsidR="00A207BE" w:rsidRPr="00DC18B6" w:rsidRDefault="00A207BE" w:rsidP="00E4537E">
            <w:pPr>
              <w:ind w:right="5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Жұмыс: 3773327</w:t>
            </w:r>
          </w:p>
          <w:p w:rsidR="00A207BE" w:rsidRPr="00DC18B6" w:rsidRDefault="00A207BE" w:rsidP="00E4537E">
            <w:pPr>
              <w:ind w:right="5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Ұялы: 87078505754</w:t>
            </w:r>
          </w:p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410" w:type="dxa"/>
            <w:gridSpan w:val="4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510</w:t>
            </w:r>
          </w:p>
        </w:tc>
      </w:tr>
      <w:tr w:rsidR="00A207BE" w:rsidRPr="00A962A4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7796" w:type="dxa"/>
            <w:gridSpan w:val="12"/>
          </w:tcPr>
          <w:p w:rsidR="00DD6D2D" w:rsidRPr="00DC18B6" w:rsidRDefault="00DD6D2D" w:rsidP="00DD6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26870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Биомассаны алу және өңдеу биотехнологиясы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пәнінің </w:t>
            </w:r>
          </w:p>
          <w:p w:rsidR="00A207BE" w:rsidRPr="00DC18B6" w:rsidRDefault="00A207BE" w:rsidP="00D53A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таңда өндірістік биотехнологияның маңызды бағыттары бірі болып саналады. </w:t>
            </w:r>
          </w:p>
        </w:tc>
      </w:tr>
      <w:tr w:rsidR="00A207BE" w:rsidRPr="00A962A4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 </w:t>
            </w:r>
          </w:p>
          <w:p w:rsidR="00A207BE" w:rsidRPr="00DC18B6" w:rsidRDefault="00A207BE" w:rsidP="00E4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12"/>
          </w:tcPr>
          <w:p w:rsidR="00A6104C" w:rsidRPr="00DC18B6" w:rsidRDefault="00A207BE" w:rsidP="00A61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26870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Биомассаны алу және өңдеу биотехнологиясы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D6D2D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104C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магистранттарға табиғи, шикізаттық және энергетикалық ресурстарды эффективті қолдану, оларды өндірудің альтернативті көздерін қарастыру, экологиялық таза және қалдықсыз өндірістерді қолдануды бағалау және өндірістердегі ресурстарды сақтауға арналған қондырғылармен және әдістермен танысу. </w:t>
            </w:r>
          </w:p>
          <w:p w:rsidR="00A207BE" w:rsidRPr="00DC18B6" w:rsidRDefault="00A207BE" w:rsidP="004A2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A962A4" w:rsidRPr="00A96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магистранттарды қазіргі заманғы ауылшаруашылығындағы, тағам және қайта өңдеу өнеркәсіптеріндегі бәсекелестікке қабілетті </w:t>
            </w:r>
            <w:r w:rsidR="00A962A4" w:rsidRPr="00A962A4">
              <w:rPr>
                <w:sz w:val="24"/>
                <w:szCs w:val="24"/>
                <w:lang w:val="kk-KZ"/>
              </w:rPr>
              <w:t xml:space="preserve">биомассаларды қайта өңдеу </w:t>
            </w:r>
            <w:r w:rsidR="00A962A4" w:rsidRPr="00A96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биотехнологияларымен таныстыру</w:t>
            </w:r>
          </w:p>
        </w:tc>
      </w:tr>
      <w:tr w:rsidR="00A207BE" w:rsidRPr="00A962A4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беру нәтижесі </w:t>
            </w:r>
          </w:p>
        </w:tc>
        <w:tc>
          <w:tcPr>
            <w:tcW w:w="7796" w:type="dxa"/>
            <w:gridSpan w:val="12"/>
          </w:tcPr>
          <w:p w:rsidR="00DD6D2D" w:rsidRPr="00DC18B6" w:rsidRDefault="00A207BE" w:rsidP="002B4489">
            <w:pPr>
              <w:pStyle w:val="Default"/>
              <w:rPr>
                <w:b/>
                <w:lang w:val="kk-KZ"/>
              </w:rPr>
            </w:pPr>
            <w:r w:rsidRPr="00DC18B6">
              <w:rPr>
                <w:b/>
                <w:lang w:val="kk-KZ"/>
              </w:rPr>
              <w:t xml:space="preserve">Студенттердің </w:t>
            </w:r>
            <w:r w:rsidRPr="00DC18B6">
              <w:rPr>
                <w:b/>
                <w:bCs/>
                <w:lang w:val="kk-KZ"/>
              </w:rPr>
              <w:t xml:space="preserve">бойында келесі біліктіліктер қалыптасуы керек: </w:t>
            </w:r>
            <w:r w:rsidRPr="00DC18B6">
              <w:rPr>
                <w:b/>
                <w:lang w:val="kk-KZ"/>
              </w:rPr>
              <w:t xml:space="preserve"> </w:t>
            </w:r>
          </w:p>
          <w:p w:rsidR="00B217D2" w:rsidRDefault="00B217D2" w:rsidP="00365C27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rPr>
                <w:lang w:val="kk-KZ"/>
              </w:rPr>
            </w:pPr>
            <w:r w:rsidRPr="00DC18B6">
              <w:rPr>
                <w:lang w:val="kk-KZ"/>
              </w:rPr>
              <w:t>Биомассаларды қайта өңдеудегі технологияларға қысқаша сипаттама.</w:t>
            </w:r>
          </w:p>
          <w:p w:rsidR="00B217D2" w:rsidRDefault="00B217D2" w:rsidP="004B77B1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>Микробтық</w:t>
            </w:r>
            <w:r>
              <w:rPr>
                <w:lang w:val="kk-KZ"/>
              </w:rPr>
              <w:t xml:space="preserve">,  өсімдік тектес және жануарлардың қалдықтары </w:t>
            </w:r>
            <w:r w:rsidRPr="00DC18B6">
              <w:rPr>
                <w:lang w:val="kk-KZ"/>
              </w:rPr>
              <w:t>биомасса</w:t>
            </w:r>
            <w:r>
              <w:rPr>
                <w:lang w:val="kk-KZ"/>
              </w:rPr>
              <w:t>ларын</w:t>
            </w:r>
            <w:r w:rsidRPr="00DC18B6">
              <w:rPr>
                <w:lang w:val="kk-KZ"/>
              </w:rPr>
              <w:t xml:space="preserve"> алуға негізделген биотехнологиялық процестер.</w:t>
            </w:r>
          </w:p>
          <w:p w:rsidR="00B217D2" w:rsidRDefault="00B217D2" w:rsidP="004B77B1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>Әртүрлі биомасса шикізаттарының қалдықтарынан қайта өңдеу арқылы жанармайлар алу технологиясы.</w:t>
            </w:r>
          </w:p>
          <w:p w:rsidR="002B4489" w:rsidRPr="00DC18B6" w:rsidRDefault="002B4489" w:rsidP="004B77B1">
            <w:pPr>
              <w:pStyle w:val="Default"/>
              <w:numPr>
                <w:ilvl w:val="0"/>
                <w:numId w:val="14"/>
              </w:numPr>
              <w:tabs>
                <w:tab w:val="left" w:pos="469"/>
              </w:tabs>
              <w:ind w:left="34" w:firstLine="141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 xml:space="preserve">Ауылшаруашылығында және т.б. биотехнологияның салаларында </w:t>
            </w:r>
            <w:r w:rsidR="0073695F">
              <w:rPr>
                <w:lang w:val="kk-KZ"/>
              </w:rPr>
              <w:t>биомассаларды қайта өңдеу технологиялары</w:t>
            </w:r>
            <w:r w:rsidRPr="00DC18B6">
              <w:rPr>
                <w:lang w:val="kk-KZ"/>
              </w:rPr>
              <w:t xml:space="preserve"> бойынша техникалар мен технологиялардың жетістіктерін көрсете білу. </w:t>
            </w:r>
          </w:p>
          <w:p w:rsidR="00A207BE" w:rsidRPr="00DC18B6" w:rsidRDefault="00A207BE" w:rsidP="004B77B1">
            <w:pPr>
              <w:pStyle w:val="Default"/>
              <w:jc w:val="both"/>
              <w:rPr>
                <w:highlight w:val="yellow"/>
                <w:lang w:val="kk-KZ"/>
              </w:rPr>
            </w:pPr>
            <w:r w:rsidRPr="00DC18B6">
              <w:rPr>
                <w:b/>
                <w:bCs/>
                <w:lang w:val="kk-KZ"/>
              </w:rPr>
              <w:t>Қалыптасатын дағдылары</w:t>
            </w:r>
            <w:r w:rsidRPr="00DC18B6">
              <w:rPr>
                <w:lang w:val="kk-KZ"/>
              </w:rPr>
              <w:t>:</w:t>
            </w:r>
            <w:r w:rsidR="00A82971" w:rsidRPr="00DC18B6">
              <w:rPr>
                <w:lang w:val="kk-KZ"/>
              </w:rPr>
              <w:t xml:space="preserve"> магистранттар </w:t>
            </w:r>
            <w:r w:rsidR="00215524">
              <w:rPr>
                <w:lang w:val="kk-KZ"/>
              </w:rPr>
              <w:t xml:space="preserve">биомассаларды қайта өңдеу арқылы </w:t>
            </w:r>
            <w:r w:rsidR="00876D1F">
              <w:rPr>
                <w:lang w:val="kk-KZ"/>
              </w:rPr>
              <w:t xml:space="preserve">әртүрлі биотехнологиялық өнімдер, </w:t>
            </w:r>
            <w:r w:rsidR="00A82971" w:rsidRPr="00DC18B6">
              <w:rPr>
                <w:lang w:val="kk-KZ"/>
              </w:rPr>
              <w:t xml:space="preserve">энергия, жанармай, газ алу технологияларын білу керек; сонымен қоса, процестер мен нысандарды қайта өңдеу, өндірістік талдау міндеттерін шешу жолдарын істей білу керек. </w:t>
            </w:r>
          </w:p>
        </w:tc>
      </w:tr>
      <w:tr w:rsidR="00A207BE" w:rsidRPr="00DC18B6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DC18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796" w:type="dxa"/>
            <w:gridSpan w:val="12"/>
          </w:tcPr>
          <w:p w:rsidR="00CE2B8D" w:rsidRPr="00DC18B6" w:rsidRDefault="00CE2B8D" w:rsidP="00CE2B8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Клунова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С.М. Биотехнология: учебник / С. М.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Клунова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А. Егорова, Е. А.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Живухина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Академия, 2010. - 256 с. –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978-5-7695-6697-4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Тараторкин, В.М. Ресурсосберегающие технологии в молочном животноводстве и кормопроизводстве: монография / В. М. Тараторкин, Е. Б. Петров. - М.: Колос, 2009. - 375 с. –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978-5-10-004075-0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Биотехнология: свершения и надежды: Пер. с англ. / Под ред. В.Г.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Дебабова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Мир, 1987. – 411 </w:t>
            </w:r>
            <w:proofErr w:type="gram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Блинов, В.А. Общая биотехнология. Курс лекций, Ч. 2. / В.А. Блинов. – Саратов, 2004. – 144 с. –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5-7011-0436-2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Блинов, В.А. Получение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биодизеля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отходов пищевой промышленности / В.А. Блинов, С.В. Ковалева, Н.А.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Лызин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Вопросы нормативно-правового регулирования в ветеринарии. – 2009. – №4 – С. 91-92. </w:t>
            </w:r>
          </w:p>
          <w:p w:rsidR="00CE2B8D" w:rsidRPr="00DC18B6" w:rsidRDefault="00CE2B8D" w:rsidP="00CE2B8D">
            <w:pPr>
              <w:pStyle w:val="Default"/>
              <w:jc w:val="both"/>
            </w:pPr>
            <w:r w:rsidRPr="00DC18B6">
              <w:rPr>
                <w:lang w:val="kk-KZ"/>
              </w:rPr>
              <w:t>6</w:t>
            </w:r>
            <w:r w:rsidRPr="00DC18B6">
              <w:t xml:space="preserve">. Егорова, Т.А. Основы биотехнологии / Т.А. Егорова, С.М. </w:t>
            </w:r>
            <w:proofErr w:type="spellStart"/>
            <w:r w:rsidRPr="00DC18B6">
              <w:t>Клунова</w:t>
            </w:r>
            <w:proofErr w:type="spellEnd"/>
            <w:r w:rsidRPr="00DC18B6">
              <w:t xml:space="preserve">, Е.А. </w:t>
            </w:r>
            <w:proofErr w:type="spellStart"/>
            <w:r w:rsidRPr="00DC18B6">
              <w:t>Живухина</w:t>
            </w:r>
            <w:proofErr w:type="spellEnd"/>
            <w:r w:rsidRPr="00DC18B6">
              <w:t xml:space="preserve">. – М.: Издательский центр «Академия», 2003. – 208 с. – </w:t>
            </w:r>
            <w:proofErr w:type="spellStart"/>
            <w:r w:rsidRPr="00DC18B6">
              <w:t>ISBN</w:t>
            </w:r>
            <w:proofErr w:type="spellEnd"/>
            <w:r w:rsidRPr="00DC18B6">
              <w:t xml:space="preserve">: 5-7695-1967-3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spacing w:after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Загоскина, Н.В. Биотехнология: теория и практика / Н.В. Загоскина, Л.В.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Е.А. Калашникова, Е.А.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Живухина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Оникс, 2009. – 496 с. –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5488021736; ISBN-13(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9785488021730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spacing w:after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Сазыкин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Ю.О. Биотехнология: учебное пособие для студентов высших учебных заведений / Ю.О.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Сазыкин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Изд. Центр «Академия», 2008. – 256с. –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978-5-7695-5506-0 </w:t>
            </w:r>
          </w:p>
          <w:p w:rsidR="00CE2B8D" w:rsidRPr="00DC18B6" w:rsidRDefault="00CE2B8D" w:rsidP="00CE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Шевелуха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В.С. Сельскохозяйственная биотехнология / В.С.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Шевелуха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Е.А. Калашникова, Е.С. Воронин и др. – М.: Высшая школа, 2003. – 469 с. –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5-06-004264-2 </w:t>
            </w:r>
          </w:p>
          <w:p w:rsidR="00A207BE" w:rsidRPr="00DC18B6" w:rsidRDefault="00A207BE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Қолжетімді онлаин: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Курсты оқыту барысында төмендегідей отандық, алыс және жақын шет елдердің көрнекі ғылыми оқулықтары мен бағдарламалар қолданылады. Ат</w:t>
            </w:r>
            <w:r w:rsidR="001001A0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лған материалдарды ҚазҰУ кітапханасынан және интернет саиттардан алуға болады, 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18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univer.kaznu.kz.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жүйесіндегі ПОӘК бөлімдерінен, тиісті МООК онлаин курстарын меңгеру</w:t>
            </w:r>
            <w:r w:rsidR="001001A0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азы данных, информационно-справочные и поисковые системы,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Агропоиск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полнотекстовая база данных иностранных журналов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Doal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поисковые системы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Rambler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Альянс стран СНГ «За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биобезопасность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(ссылка доступа – http://www.biosafety.ru/) 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«Биотехнология» (аннотации статей) (ссылка доступа – http://www.genetika.ru/journal) 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экологической биотехнологии (ссылка доступа – http://www.bioplaneta.ru/research/ecology/) 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55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журналы раздела тематического рубрикатора «Биотехнология» (ссылка доступа – http://elibrary.ru/rubric_titles.asp?rcode=620000) 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-line-журнал</w:t>
            </w:r>
            <w:proofErr w:type="spellEnd"/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«Биотехнология. Теория и практика» (ссылка доступа – http://www.biotechlink.org) </w:t>
            </w:r>
          </w:p>
          <w:p w:rsidR="001001A0" w:rsidRPr="00DC18B6" w:rsidRDefault="001001A0" w:rsidP="001001A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Словари и энциклопедии (ссылка доступа – http://academic.ru/) </w:t>
            </w:r>
          </w:p>
        </w:tc>
      </w:tr>
      <w:tr w:rsidR="00A207BE" w:rsidRPr="00A962A4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  <w:p w:rsidR="00A207BE" w:rsidRPr="00DC18B6" w:rsidRDefault="00A207BE" w:rsidP="00E4537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12"/>
          </w:tcPr>
          <w:p w:rsidR="001247C3" w:rsidRPr="00DC18B6" w:rsidRDefault="001247C3" w:rsidP="001247C3">
            <w:pPr>
              <w:pStyle w:val="Default"/>
              <w:tabs>
                <w:tab w:val="left" w:pos="469"/>
              </w:tabs>
              <w:ind w:left="34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 xml:space="preserve">«Биомассаны алу және өңдеу биотехнологиясы» </w:t>
            </w:r>
            <w:r w:rsidR="00A207BE" w:rsidRPr="00DC18B6">
              <w:rPr>
                <w:lang w:val="kk-KZ"/>
              </w:rPr>
              <w:t>курс</w:t>
            </w:r>
            <w:r>
              <w:rPr>
                <w:lang w:val="kk-KZ"/>
              </w:rPr>
              <w:t>ында</w:t>
            </w:r>
            <w:r w:rsidR="00A207BE" w:rsidRPr="00DC18B6">
              <w:rPr>
                <w:lang w:val="kk-KZ"/>
              </w:rPr>
              <w:t xml:space="preserve"> </w:t>
            </w:r>
            <w:r w:rsidR="009378EC" w:rsidRPr="00DC18B6">
              <w:rPr>
                <w:lang w:val="kk-KZ"/>
              </w:rPr>
              <w:t xml:space="preserve">магистрантарға </w:t>
            </w:r>
            <w:r>
              <w:rPr>
                <w:lang w:val="kk-KZ"/>
              </w:rPr>
              <w:t>әртүрлі нысандардан өндірілген б</w:t>
            </w:r>
            <w:r w:rsidRPr="00DC18B6">
              <w:rPr>
                <w:lang w:val="kk-KZ"/>
              </w:rPr>
              <w:t>иомассаларды қайта өңдеудегі технологияларға қысқаша сипаттама.</w:t>
            </w:r>
            <w:r>
              <w:rPr>
                <w:lang w:val="kk-KZ"/>
              </w:rPr>
              <w:t xml:space="preserve"> </w:t>
            </w:r>
            <w:r w:rsidRPr="00DC18B6">
              <w:rPr>
                <w:lang w:val="kk-KZ"/>
              </w:rPr>
              <w:t>Микробтық</w:t>
            </w:r>
            <w:r>
              <w:rPr>
                <w:lang w:val="kk-KZ"/>
              </w:rPr>
              <w:t xml:space="preserve">,  өсімдік тектес және жануарлардың қалдықтары </w:t>
            </w:r>
            <w:r w:rsidRPr="00DC18B6">
              <w:rPr>
                <w:lang w:val="kk-KZ"/>
              </w:rPr>
              <w:t>биомасса</w:t>
            </w:r>
            <w:r>
              <w:rPr>
                <w:lang w:val="kk-KZ"/>
              </w:rPr>
              <w:t>ларын</w:t>
            </w:r>
            <w:r w:rsidRPr="00DC18B6">
              <w:rPr>
                <w:lang w:val="kk-KZ"/>
              </w:rPr>
              <w:t xml:space="preserve"> алуға негізделген биотехнологиялық процестер.</w:t>
            </w:r>
            <w:r>
              <w:rPr>
                <w:lang w:val="kk-KZ"/>
              </w:rPr>
              <w:t xml:space="preserve"> </w:t>
            </w:r>
            <w:r w:rsidRPr="00DC18B6">
              <w:rPr>
                <w:lang w:val="kk-KZ"/>
              </w:rPr>
              <w:t>Әртүрлі биомасса шикізаттарының қалдықтарынан қайта өңдеу арқылы жанармайлар алу технологиясы.</w:t>
            </w:r>
            <w:r>
              <w:rPr>
                <w:lang w:val="kk-KZ"/>
              </w:rPr>
              <w:t xml:space="preserve"> </w:t>
            </w:r>
            <w:r w:rsidRPr="00DC18B6">
              <w:rPr>
                <w:lang w:val="kk-KZ"/>
              </w:rPr>
              <w:t xml:space="preserve">Ауылшаруашылығында және т.б. биотехнологияның салаларында </w:t>
            </w:r>
            <w:r>
              <w:rPr>
                <w:lang w:val="kk-KZ"/>
              </w:rPr>
              <w:t>биомассаларды қайта өңдеу технологиялары</w:t>
            </w:r>
            <w:r w:rsidRPr="00DC18B6">
              <w:rPr>
                <w:lang w:val="kk-KZ"/>
              </w:rPr>
              <w:t xml:space="preserve"> бойынша </w:t>
            </w:r>
            <w:r w:rsidRPr="00DC18B6">
              <w:rPr>
                <w:lang w:val="kk-KZ"/>
              </w:rPr>
              <w:lastRenderedPageBreak/>
              <w:t xml:space="preserve">техникалар мен технологиялардың жетістіктерін көрсете білу. </w:t>
            </w:r>
          </w:p>
          <w:p w:rsidR="00CE2B8D" w:rsidRPr="00DC18B6" w:rsidRDefault="001247C3" w:rsidP="002B44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«Биомассаны алу және өңдеу биотехнологиясы»</w:t>
            </w:r>
            <w:r w:rsidR="002021F5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пәнінде білім беру процесін жетістікті ұйымдастыру және жоғарылату үшін дәстүрлі педагогикалық технологиялармен қатарбелсенді оқу әдісі: бақылау-дәрістері, мәселелік дәрістер, конференциялық сабақтар, мамандыққа бағытталған семинар сабақтары жүзеге асырылады. </w:t>
            </w:r>
          </w:p>
        </w:tc>
      </w:tr>
      <w:tr w:rsidR="00A207BE" w:rsidRPr="00A962A4" w:rsidTr="00E4537E">
        <w:tc>
          <w:tcPr>
            <w:tcW w:w="2093" w:type="dxa"/>
            <w:gridSpan w:val="2"/>
          </w:tcPr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Курстың қойылатын талаптары </w:t>
            </w:r>
          </w:p>
        </w:tc>
        <w:tc>
          <w:tcPr>
            <w:tcW w:w="7796" w:type="dxa"/>
            <w:gridSpan w:val="12"/>
          </w:tcPr>
          <w:p w:rsidR="00A207BE" w:rsidRPr="00DC18B6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аудиториялық сабақтар алдын ала төмендегі графикке сәйкес жоспарланады. Дайындаған тапсырмалар талқыланатын талапқа сәйкес ауідиториялық сабақтарда аорындалады. </w:t>
            </w:r>
          </w:p>
          <w:p w:rsidR="00A207BE" w:rsidRPr="00DC18B6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тапсырмалары семестрге сәйкес бөлінеді. </w:t>
            </w:r>
          </w:p>
          <w:p w:rsidR="00A207BE" w:rsidRPr="00DC18B6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үй тапсырмаларында бірнеше сұрақтардан тұрады.</w:t>
            </w:r>
          </w:p>
          <w:p w:rsidR="00A207BE" w:rsidRPr="00DC18B6" w:rsidRDefault="00A207BE" w:rsidP="00E4537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 бойынша зерттелетін материалдар жоба түрінде тапсырма болып беріледі</w:t>
            </w:r>
            <w:r w:rsidR="00222EA8"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222EA8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курсты қорытынды бағалаудың 10-15</w:t>
            </w:r>
            <w:r w:rsidR="00222EA8" w:rsidRPr="00DC18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22EA8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құрайды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22EA8" w:rsidRPr="00DC18B6" w:rsidRDefault="00222EA8" w:rsidP="00E4537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жұмысын орындауда келесі ережелер сақталуы тиіс. </w:t>
            </w:r>
          </w:p>
          <w:p w:rsidR="00222EA8" w:rsidRPr="00DC18B6" w:rsidRDefault="00222EA8" w:rsidP="00E4537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көрсетілген уақытта орындалуы тиіс. Кешіктірген жағдайда үй тапсырмалары қабылданбайды.</w:t>
            </w:r>
          </w:p>
          <w:p w:rsidR="00A207BE" w:rsidRPr="00DC18B6" w:rsidRDefault="00222EA8" w:rsidP="00E4537E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тапсырмалары тиісті талаптарға сай орындалуы тиіс.  Егер тапсырмалар талаптарға сай орындалмаса қанағаттанарлықсыз бағамен қайтарылып беріледі. </w:t>
            </w:r>
          </w:p>
        </w:tc>
      </w:tr>
      <w:tr w:rsidR="00A207BE" w:rsidRPr="00DC18B6" w:rsidTr="00E4537E">
        <w:trPr>
          <w:trHeight w:val="258"/>
        </w:trPr>
        <w:tc>
          <w:tcPr>
            <w:tcW w:w="2093" w:type="dxa"/>
            <w:gridSpan w:val="2"/>
            <w:vMerge w:val="restart"/>
          </w:tcPr>
          <w:p w:rsidR="00A207BE" w:rsidRPr="00DC18B6" w:rsidRDefault="00222EA8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3685" w:type="dxa"/>
            <w:gridSpan w:val="4"/>
          </w:tcPr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1418" w:type="dxa"/>
            <w:gridSpan w:val="3"/>
          </w:tcPr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Алатын мөлшері</w:t>
            </w:r>
          </w:p>
        </w:tc>
        <w:tc>
          <w:tcPr>
            <w:tcW w:w="2693" w:type="dxa"/>
            <w:gridSpan w:val="5"/>
          </w:tcPr>
          <w:p w:rsidR="00A207BE" w:rsidRPr="00DC18B6" w:rsidRDefault="00222EA8" w:rsidP="00E4537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берудің нәтижесі</w:t>
            </w:r>
          </w:p>
        </w:tc>
      </w:tr>
      <w:tr w:rsidR="00A207BE" w:rsidRPr="00DC18B6" w:rsidTr="00E4537E">
        <w:trPr>
          <w:trHeight w:val="576"/>
        </w:trPr>
        <w:tc>
          <w:tcPr>
            <w:tcW w:w="2093" w:type="dxa"/>
            <w:gridSpan w:val="2"/>
            <w:vMerge/>
          </w:tcPr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Жобаларды жасап орындау</w:t>
            </w:r>
          </w:p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Емтихандар </w:t>
            </w:r>
            <w:r w:rsidR="00A207BE"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7BE" w:rsidRPr="00DC18B6" w:rsidRDefault="00334C6C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18" w:type="dxa"/>
            <w:gridSpan w:val="3"/>
          </w:tcPr>
          <w:p w:rsidR="00A207BE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A207BE" w:rsidRPr="00DC18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207BE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A207BE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gridSpan w:val="5"/>
          </w:tcPr>
          <w:p w:rsidR="00A207BE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222EA8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="00222EA8" w:rsidRPr="00DC18B6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  <w:p w:rsidR="00A207BE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222EA8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07BE" w:rsidRPr="00DC18B6" w:rsidTr="00E4537E">
        <w:tc>
          <w:tcPr>
            <w:tcW w:w="2093" w:type="dxa"/>
            <w:gridSpan w:val="2"/>
            <w:vMerge/>
          </w:tcPr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12"/>
          </w:tcPr>
          <w:p w:rsidR="00A207BE" w:rsidRPr="00DC18B6" w:rsidRDefault="00222EA8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 төмендегі формуламен есептелінеді:</w:t>
            </w:r>
          </w:p>
          <w:p w:rsidR="00A207BE" w:rsidRPr="00DC18B6" w:rsidRDefault="0000542A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Пәннің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бағасы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207BE" w:rsidRPr="00DC18B6" w:rsidRDefault="0000542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бағалайдың төменгі көрсеткіштері келтірілген</w:t>
            </w:r>
            <w:r w:rsidR="00A207BE" w:rsidRPr="00DC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207BE" w:rsidRPr="00DC18B6" w:rsidRDefault="00A207BE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207BE" w:rsidRPr="00DC18B6" w:rsidRDefault="00A207BE" w:rsidP="00E453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34C6C" w:rsidRPr="00DC1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C6C" w:rsidRPr="00DC1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34C6C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   0% -49%: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207BE" w:rsidRPr="00A962A4" w:rsidTr="00E4537E">
        <w:tc>
          <w:tcPr>
            <w:tcW w:w="2093" w:type="dxa"/>
            <w:gridSpan w:val="2"/>
          </w:tcPr>
          <w:p w:rsidR="00A207BE" w:rsidRPr="00DC18B6" w:rsidRDefault="00730740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7796" w:type="dxa"/>
            <w:gridSpan w:val="12"/>
          </w:tcPr>
          <w:p w:rsidR="00A207BE" w:rsidRPr="00DC18B6" w:rsidRDefault="00730740" w:rsidP="00334C6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саясаты университеттің Академиялық саясатына сәйкес жүзеге асады.</w:t>
            </w:r>
          </w:p>
        </w:tc>
      </w:tr>
      <w:tr w:rsidR="00D81379" w:rsidRPr="00A962A4" w:rsidTr="00E4537E">
        <w:tc>
          <w:tcPr>
            <w:tcW w:w="2093" w:type="dxa"/>
            <w:gridSpan w:val="2"/>
          </w:tcPr>
          <w:p w:rsidR="00D81379" w:rsidRPr="00DC18B6" w:rsidRDefault="00730740" w:rsidP="00E45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саясаты мен аттестация</w:t>
            </w:r>
          </w:p>
        </w:tc>
        <w:tc>
          <w:tcPr>
            <w:tcW w:w="7796" w:type="dxa"/>
            <w:gridSpan w:val="12"/>
          </w:tcPr>
          <w:p w:rsidR="00D81379" w:rsidRPr="00DC18B6" w:rsidRDefault="00730740" w:rsidP="00334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 сабаққа қатысқаны, үй тапсырмаларды орындауы, СӨЖ тапсырмалары мен бақылау жұмыстарын орындалу деңгейіне байланысты</w:t>
            </w:r>
          </w:p>
        </w:tc>
      </w:tr>
      <w:tr w:rsidR="00D81379" w:rsidRPr="00A962A4" w:rsidTr="00E4537E">
        <w:tc>
          <w:tcPr>
            <w:tcW w:w="2093" w:type="dxa"/>
            <w:gridSpan w:val="2"/>
          </w:tcPr>
          <w:p w:rsidR="00D81379" w:rsidRPr="00DC18B6" w:rsidRDefault="00730740" w:rsidP="00E45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саясаты мен күтілетін нәтижелер</w:t>
            </w:r>
          </w:p>
        </w:tc>
        <w:tc>
          <w:tcPr>
            <w:tcW w:w="7796" w:type="dxa"/>
            <w:gridSpan w:val="12"/>
          </w:tcPr>
          <w:p w:rsidR="00D81379" w:rsidRPr="00DC18B6" w:rsidRDefault="00730740" w:rsidP="00334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қатысты саясаты студенттердің сабаққа келуі, кешігуі, үй тапсырмаларын, бақылау жұмыстарын орындамауы,  аудиториялық сабақтарды жазуы, ноутбуктарды қолдануы және т.б. жатады. Студентердің тәртібіндегі күтілетін нәтижелерді сипаттауға (шыншылдығы, бір-біріне сыйластықпен қрым-қатынас жасауы, творчестволық тәсілдер және т.б.) студенттердің күтетін нәтижесі (</w:t>
            </w:r>
            <w:r w:rsidR="00E45A60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оқытушының әрқашан кеңес беруге, әңгімелесуге немесе электрондық почта арқылы сұқбаттасуға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81379" w:rsidRPr="00DC18B6" w:rsidTr="00E4537E">
        <w:tc>
          <w:tcPr>
            <w:tcW w:w="2093" w:type="dxa"/>
            <w:gridSpan w:val="2"/>
          </w:tcPr>
          <w:p w:rsidR="00D81379" w:rsidRPr="00DC18B6" w:rsidRDefault="00E45A60" w:rsidP="00E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Курстың күнтізбесі </w:t>
            </w:r>
            <w:r w:rsidR="00D81379"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(график ) </w:t>
            </w:r>
          </w:p>
        </w:tc>
        <w:tc>
          <w:tcPr>
            <w:tcW w:w="7796" w:type="dxa"/>
            <w:gridSpan w:val="12"/>
          </w:tcPr>
          <w:p w:rsidR="00D81379" w:rsidRPr="00DC18B6" w:rsidRDefault="00E45A60" w:rsidP="0033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 оқытылатын дәрістер мен зертханалық сабақтар, үй тапсырмалары, СӨЖтапсырмалары  графикке сәйкес жүргізіледі.</w:t>
            </w:r>
          </w:p>
        </w:tc>
      </w:tr>
      <w:tr w:rsidR="00D81379" w:rsidRPr="00DC18B6" w:rsidTr="00E4537E">
        <w:tc>
          <w:tcPr>
            <w:tcW w:w="2093" w:type="dxa"/>
            <w:gridSpan w:val="2"/>
          </w:tcPr>
          <w:p w:rsidR="00D81379" w:rsidRPr="00DC18B6" w:rsidRDefault="00E45A60" w:rsidP="00E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 </w:t>
            </w:r>
            <w:r w:rsidR="00D81379" w:rsidRPr="00DC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D81379" w:rsidRPr="00DC18B6" w:rsidRDefault="00E45A60" w:rsidP="00334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силлабусты қалай қолдануға, курсты қалай меңгеруді және көмекке қалай шақыруды меңгеру керек</w:t>
            </w:r>
          </w:p>
          <w:p w:rsidR="00334C6C" w:rsidRPr="00DC18B6" w:rsidRDefault="00334C6C" w:rsidP="0033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79" w:rsidRPr="00DC18B6" w:rsidTr="00612573">
        <w:tc>
          <w:tcPr>
            <w:tcW w:w="9889" w:type="dxa"/>
            <w:gridSpan w:val="14"/>
          </w:tcPr>
          <w:p w:rsidR="00D81379" w:rsidRPr="00DC18B6" w:rsidRDefault="00D81379" w:rsidP="00BD7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</w:t>
            </w:r>
            <w:r w:rsidR="00426870"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Биомассаны алу және өңдеу биотехнологиясы</w:t>
            </w: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="00BD7843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пәнінің</w:t>
            </w:r>
            <w:r w:rsidR="00E45A60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графигі</w:t>
            </w:r>
          </w:p>
        </w:tc>
      </w:tr>
      <w:tr w:rsidR="00D81379" w:rsidRPr="00DC18B6" w:rsidTr="00E630CC">
        <w:tc>
          <w:tcPr>
            <w:tcW w:w="1101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520" w:type="dxa"/>
            <w:gridSpan w:val="10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Тақырыптардың аты 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D8137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</w:p>
          <w:p w:rsidR="00334C6C" w:rsidRPr="00DC18B6" w:rsidRDefault="005B2CF5" w:rsidP="001B7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Кіріспе. </w:t>
            </w:r>
            <w:r w:rsidR="00426870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Биомасса туралы жалпы мәлімет</w:t>
            </w: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1B71F2"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Биомассаларды қайта өңдеудегі технологияларға қысқаша сипаттама.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C18B6" w:rsidTr="00E630CC">
        <w:trPr>
          <w:trHeight w:val="693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Семинарлық 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1.</w:t>
            </w:r>
          </w:p>
          <w:p w:rsidR="00D81379" w:rsidRPr="00DC18B6" w:rsidRDefault="001827FB" w:rsidP="00122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Биомасса және </w:t>
            </w:r>
            <w:r w:rsidR="001227CA"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биогаз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520" w:type="dxa"/>
            <w:gridSpan w:val="10"/>
          </w:tcPr>
          <w:p w:rsidR="00D81379" w:rsidRPr="00DC18B6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2.  </w:t>
            </w:r>
          </w:p>
          <w:p w:rsidR="00D81379" w:rsidRPr="00DC18B6" w:rsidRDefault="00E630CC" w:rsidP="00E30EC9">
            <w:pPr>
              <w:pStyle w:val="Default"/>
              <w:rPr>
                <w:b/>
                <w:lang w:val="kk-KZ"/>
              </w:rPr>
            </w:pPr>
            <w:r w:rsidRPr="00DC18B6">
              <w:rPr>
                <w:lang w:val="kk-KZ"/>
              </w:rPr>
              <w:t xml:space="preserve">Бірінші реттік және екінші реттік биомассалар. Алу жолдары мен технологиялары. 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562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2.</w:t>
            </w:r>
          </w:p>
          <w:p w:rsidR="00334C6C" w:rsidRPr="00DC18B6" w:rsidRDefault="005458B3" w:rsidP="005458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58B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Микроорганизмдердің биомассаларын алу жолдары.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gridSpan w:val="10"/>
          </w:tcPr>
          <w:p w:rsidR="005B2CF5" w:rsidRPr="00DC18B6" w:rsidRDefault="00D81379" w:rsidP="005B2C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3. </w:t>
            </w:r>
          </w:p>
          <w:p w:rsidR="00D81379" w:rsidRPr="00DC18B6" w:rsidRDefault="00A54D93" w:rsidP="00977B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Микроорганизмдерді өсіру процестері және оларды бақылау принциптері.</w:t>
            </w:r>
            <w:r w:rsidR="00977B19"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Ө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 эфективтілігі. Биомасса шығымының коэффициенті.  Өнімнің түзілуі.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5B2CF5" w:rsidRPr="00DC18B6" w:rsidRDefault="001827FB" w:rsidP="007A7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3.</w:t>
            </w:r>
            <w:r w:rsidR="005B2CF5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1379" w:rsidRPr="00DC18B6" w:rsidRDefault="00DC18B6" w:rsidP="00DC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Микробтық биомассалардың антибиотиктер алудағы  қайта өңдеу  технологиясы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10"/>
          </w:tcPr>
          <w:p w:rsidR="00977B19" w:rsidRPr="00DC18B6" w:rsidRDefault="005434C1" w:rsidP="00977B19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977B19" w:rsidRPr="00DC1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81379" w:rsidRPr="00DC18B6" w:rsidRDefault="00977B19" w:rsidP="00977B1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Өнеркәсіптік микроорганизмдердің биомассаларын кешенді қайта өңдеу биотехнологиясы.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977B19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D81379" w:rsidRPr="00DC18B6" w:rsidTr="00E630CC">
        <w:trPr>
          <w:trHeight w:val="590"/>
        </w:trPr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520" w:type="dxa"/>
            <w:gridSpan w:val="10"/>
          </w:tcPr>
          <w:p w:rsidR="00D81379" w:rsidRPr="00DC18B6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4. </w:t>
            </w:r>
          </w:p>
          <w:p w:rsidR="00D81379" w:rsidRPr="00DC18B6" w:rsidRDefault="00A54D93" w:rsidP="00E63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Микробтық биомасса алуға негізделген биотехнологиялық процестер. Бірінші реттік биомассаларды алу.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Микробтық биомасса. Белок өндірісі.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79" w:rsidRPr="00DC18B6" w:rsidTr="00E630CC">
        <w:trPr>
          <w:trHeight w:val="591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10"/>
          </w:tcPr>
          <w:p w:rsidR="005B2CF5" w:rsidRPr="00DC18B6" w:rsidRDefault="001827FB" w:rsidP="005B2CF5">
            <w:pPr>
              <w:pStyle w:val="Default"/>
              <w:rPr>
                <w:b/>
                <w:lang w:val="kk-KZ" w:eastAsia="ru-RU"/>
              </w:rPr>
            </w:pPr>
            <w:r w:rsidRPr="00DC18B6">
              <w:rPr>
                <w:b/>
                <w:lang w:val="kk-KZ" w:eastAsia="ru-RU"/>
              </w:rPr>
              <w:t>Семинарлық сабақ 4.</w:t>
            </w:r>
          </w:p>
          <w:p w:rsidR="00D81379" w:rsidRPr="00DC18B6" w:rsidRDefault="00DC18B6" w:rsidP="00DC18B6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>Микробтық биомассалардың полисахаридтерін қайта өңдеу  технологиясы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gridSpan w:val="10"/>
          </w:tcPr>
          <w:p w:rsidR="00D81379" w:rsidRPr="00DC18B6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5.</w:t>
            </w:r>
          </w:p>
          <w:p w:rsidR="00D81379" w:rsidRPr="00DC18B6" w:rsidRDefault="00A54D93" w:rsidP="00E63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Ашытқылар мен бактериялардың биомассасы. Микроорганизмдерді өсіру процестері және оларды бақылау принциптері. Өнімнің түзілуі.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DC18B6" w:rsidTr="00E630CC">
        <w:trPr>
          <w:trHeight w:val="587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1827FB" w:rsidP="00D64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5.</w:t>
            </w:r>
          </w:p>
          <w:p w:rsidR="00D646DC" w:rsidRPr="00DC18B6" w:rsidRDefault="005458B3" w:rsidP="00042CE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Микробтық биомассалардың витаминдер, органикалық қышқылдар алудағы  қайта өңдеу  технологиясы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 w:val="restart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gridSpan w:val="10"/>
          </w:tcPr>
          <w:p w:rsidR="00D81379" w:rsidRPr="00DC18B6" w:rsidRDefault="00D81379" w:rsidP="007A7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 6. </w:t>
            </w:r>
          </w:p>
          <w:p w:rsidR="00D81379" w:rsidRPr="00DC18B6" w:rsidRDefault="00B34414" w:rsidP="00E63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Азықтық белок өндірісі.Азықтық ашытқылар өндірісі. Егу    материалын алу және ферментация процесі.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379" w:rsidRPr="005458B3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1827FB" w:rsidRPr="00DC18B6" w:rsidRDefault="001827FB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6.</w:t>
            </w:r>
          </w:p>
          <w:p w:rsidR="00D81379" w:rsidRPr="005458B3" w:rsidRDefault="005458B3" w:rsidP="007A7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Спирт өндіретін ашытқылардың таза культураларының биомассасын аэробты технологиялармен өсіру қондырғылары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5458B3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5434C1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2.</w:t>
            </w:r>
          </w:p>
          <w:p w:rsidR="003D6294" w:rsidRPr="00DC18B6" w:rsidRDefault="00FE7B0F" w:rsidP="00FE7B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 өңделген микробтық биомассаларды қолдану салалары.  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5370B"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7. </w:t>
            </w:r>
          </w:p>
          <w:p w:rsidR="00C71AF9" w:rsidRPr="00DC18B6" w:rsidRDefault="00042CE7" w:rsidP="00042CE7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Микробтық биомассаларды липидті өнімдерді ала отырып қайта өңдеу. Микробтық липид-өндірушілер. Липид түзуші ашытқылар. Микробтық липидтерді өндіруші-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микроорганизмдерді өсіру технологияларының негіздері.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634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7.</w:t>
            </w:r>
          </w:p>
          <w:p w:rsidR="00C71AF9" w:rsidRPr="00DC18B6" w:rsidRDefault="008D1B25" w:rsidP="00042CE7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>Белоктық өнімдерді алу технологиясы.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25370B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rPr>
          <w:trHeight w:val="315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E630CC" w:rsidRPr="00DC18B6" w:rsidRDefault="00D81379" w:rsidP="00E63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Аралық  бақылау 1.</w:t>
            </w:r>
            <w:r w:rsidR="00E630CC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1379" w:rsidRPr="00DC18B6" w:rsidRDefault="00E630CC" w:rsidP="00E63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Микробтық биомасса алуға негізделген биотехнологиялық процестер.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5370B"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8. </w:t>
            </w:r>
          </w:p>
          <w:p w:rsidR="00C71AF9" w:rsidRPr="00DC18B6" w:rsidRDefault="008D1B25" w:rsidP="008D1B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Микробтық полинуклеотидтерді (РНҚ) гидролиздеу. Денуклеинизирленген микробтық биомассаларды белоктық өнімдерді ала отырып қайта өңдеу. 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30EC9">
        <w:trPr>
          <w:trHeight w:val="597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DC18B6" w:rsidRDefault="00C71AF9" w:rsidP="00A54D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8.</w:t>
            </w:r>
            <w:r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0EC9" w:rsidRPr="00DC18B6" w:rsidRDefault="00E30EC9" w:rsidP="00E30EC9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>Микробтық РНҚ және ДНҚ</w:t>
            </w:r>
            <w:r w:rsidR="00984950" w:rsidRPr="00DC18B6">
              <w:rPr>
                <w:lang w:val="kk-KZ"/>
              </w:rPr>
              <w:t xml:space="preserve"> қайта өңдеу биотехнологиясы.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rPr>
          <w:trHeight w:val="415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D8137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  <w:p w:rsidR="00E30EC9" w:rsidRPr="00DC18B6" w:rsidRDefault="00E30EC9" w:rsidP="00E30EC9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9. 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C71AF9" w:rsidRPr="00DC18B6" w:rsidRDefault="00E30EC9" w:rsidP="00E30EC9">
            <w:pPr>
              <w:pStyle w:val="Default"/>
              <w:jc w:val="both"/>
              <w:rPr>
                <w:b/>
                <w:lang w:val="kk-KZ"/>
              </w:rPr>
            </w:pPr>
            <w:r w:rsidRPr="00DC18B6">
              <w:rPr>
                <w:lang w:val="kk-KZ"/>
              </w:rPr>
              <w:t>Бактерия биомассаларын кешендік қайта өңдеудің ерекшеліктері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C18B6" w:rsidTr="005458B3">
        <w:trPr>
          <w:trHeight w:val="523"/>
        </w:trPr>
        <w:tc>
          <w:tcPr>
            <w:tcW w:w="1101" w:type="dxa"/>
            <w:vMerge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920DC5" w:rsidRPr="00DC18B6" w:rsidRDefault="00920DC5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9.</w:t>
            </w:r>
          </w:p>
          <w:p w:rsidR="00920DC5" w:rsidRPr="005458B3" w:rsidRDefault="005458B3" w:rsidP="005458B3">
            <w:pPr>
              <w:pStyle w:val="Default"/>
              <w:jc w:val="both"/>
              <w:rPr>
                <w:lang w:val="kk-KZ"/>
              </w:rPr>
            </w:pPr>
            <w:r w:rsidRPr="005458B3">
              <w:rPr>
                <w:lang w:val="kk-KZ"/>
              </w:rPr>
              <w:t>Бейорганикалық қалдықтарды қайта өңдеу технологиясы.</w:t>
            </w:r>
          </w:p>
        </w:tc>
        <w:tc>
          <w:tcPr>
            <w:tcW w:w="992" w:type="dxa"/>
            <w:gridSpan w:val="2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920DC5" w:rsidRPr="00DC18B6" w:rsidRDefault="00920DC5" w:rsidP="00920DC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10.</w:t>
            </w:r>
          </w:p>
          <w:p w:rsidR="00C71AF9" w:rsidRPr="00DC18B6" w:rsidRDefault="00E30EC9" w:rsidP="00D646DC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Балдырлар мен микроскопиялық саңырауқұлақтардың биомассасы алу және қайта өңдеу.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10.</w:t>
            </w:r>
          </w:p>
          <w:p w:rsidR="00C71AF9" w:rsidRPr="00DC18B6" w:rsidRDefault="00E30EC9" w:rsidP="003567D3">
            <w:pPr>
              <w:pStyle w:val="Default"/>
              <w:rPr>
                <w:b/>
                <w:lang w:val="kk-KZ"/>
              </w:rPr>
            </w:pPr>
            <w:r w:rsidRPr="00DC18B6">
              <w:rPr>
                <w:lang w:val="kk-KZ" w:eastAsia="ru-RU"/>
              </w:rPr>
              <w:t>Биомассаларды алу: күн сәулесіне негізделген технология. Фотосинтез. Фотосинтезді биотехнология әлістерімен қарқындату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195A31" w:rsidRPr="00DC18B6" w:rsidRDefault="005434C1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</w:t>
            </w:r>
            <w:r w:rsidR="00920DC5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D81379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81379" w:rsidRPr="00DC18B6" w:rsidRDefault="001B71F2" w:rsidP="001B71F2">
            <w:pPr>
              <w:pStyle w:val="Default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>Әртүрлі биомасса шикізаттарының қалдықтарынан қайта өңдеу арқылы жанармайлар алу технологиясы.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11. </w:t>
            </w:r>
          </w:p>
          <w:p w:rsidR="00C71AF9" w:rsidRPr="00DC18B6" w:rsidRDefault="009C35FC" w:rsidP="00C756D1">
            <w:pPr>
              <w:pStyle w:val="Default"/>
              <w:rPr>
                <w:lang w:val="kk-KZ"/>
              </w:rPr>
            </w:pPr>
            <w:r w:rsidRPr="00DC18B6">
              <w:rPr>
                <w:lang w:val="kk-KZ"/>
              </w:rPr>
              <w:t xml:space="preserve">Екіншілік биомассалар. </w:t>
            </w:r>
            <w:r w:rsidR="00E30EC9" w:rsidRPr="00DC18B6">
              <w:rPr>
                <w:lang w:val="kk-KZ"/>
              </w:rPr>
              <w:t xml:space="preserve">Ауылшаруашылық қалдықтары биомассалары және оларды қайта өңдеу биотехнологиясы. </w:t>
            </w:r>
            <w:r w:rsidR="00C756D1" w:rsidRPr="00DC18B6">
              <w:rPr>
                <w:lang w:val="kk-KZ"/>
              </w:rPr>
              <w:t xml:space="preserve">Өсімдік қалдықтарын қайта өңдеу технологиясы. </w:t>
            </w:r>
            <w:r w:rsidR="00E30EC9" w:rsidRPr="00DC18B6">
              <w:rPr>
                <w:lang w:val="kk-KZ"/>
              </w:rPr>
              <w:t>Сабан. Қант қызылшасының қалды</w:t>
            </w:r>
            <w:r w:rsidRPr="00DC18B6">
              <w:rPr>
                <w:lang w:val="kk-KZ"/>
              </w:rPr>
              <w:t>ғы.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828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11.</w:t>
            </w:r>
          </w:p>
          <w:p w:rsidR="00C71AF9" w:rsidRPr="00DC18B6" w:rsidRDefault="00E30EC9" w:rsidP="009C3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Трансгенді организмдер биомассасы. Трансгенді микроорганизмдер алу жолдары мен  олардың адам өміріндегі маңызы.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12. </w:t>
            </w:r>
          </w:p>
          <w:p w:rsidR="00C71AF9" w:rsidRPr="00DC18B6" w:rsidRDefault="009C35FC" w:rsidP="001B71F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Энергетикалық ауылшаруашылық культуралары</w:t>
            </w:r>
            <w:r w:rsidR="001B71F2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биомассаларын микробиологиялық жолмен қайта өңдеу.</w:t>
            </w: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жанармайда жылдам өсетін биомассалар. Мысалы, тал ағашы немесе мискантус. 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562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12.</w:t>
            </w:r>
          </w:p>
          <w:p w:rsidR="00C71AF9" w:rsidRPr="00DC18B6" w:rsidRDefault="001B71F2" w:rsidP="00957C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тектес биомассалар және олардың биотехнологиялық өндірісте алатын маңызы.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20DC5" w:rsidRPr="00DC18B6" w:rsidTr="00E630CC">
        <w:tc>
          <w:tcPr>
            <w:tcW w:w="1101" w:type="dxa"/>
            <w:vMerge w:val="restart"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520" w:type="dxa"/>
            <w:gridSpan w:val="10"/>
          </w:tcPr>
          <w:p w:rsidR="00920DC5" w:rsidRPr="00DC18B6" w:rsidRDefault="00920DC5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13. </w:t>
            </w:r>
          </w:p>
          <w:p w:rsidR="00920DC5" w:rsidRPr="00DC18B6" w:rsidRDefault="009C35FC" w:rsidP="00984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Орман шаруашылығы қалдықтары биомассасы. Ағаштарды қайта өңдеудегі қиындылар мен үгінділерді жанармай ретінде қолдану.</w:t>
            </w:r>
          </w:p>
        </w:tc>
        <w:tc>
          <w:tcPr>
            <w:tcW w:w="992" w:type="dxa"/>
            <w:gridSpan w:val="2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C18B6" w:rsidTr="00E630CC">
        <w:trPr>
          <w:trHeight w:val="828"/>
        </w:trPr>
        <w:tc>
          <w:tcPr>
            <w:tcW w:w="1101" w:type="dxa"/>
            <w:vMerge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920DC5" w:rsidRPr="00DC18B6" w:rsidRDefault="00920DC5" w:rsidP="0098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13.</w:t>
            </w:r>
          </w:p>
          <w:p w:rsidR="001B71F2" w:rsidRPr="00DC18B6" w:rsidRDefault="001B71F2" w:rsidP="001B7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Шөптесін өсімдіктер биомассаларының қалдықтарын микробиологиялық жолмен қайта өңдеу биотехнологиясы. </w:t>
            </w:r>
          </w:p>
        </w:tc>
        <w:tc>
          <w:tcPr>
            <w:tcW w:w="992" w:type="dxa"/>
            <w:gridSpan w:val="2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0DC5" w:rsidRPr="00DC18B6" w:rsidTr="00E630CC">
        <w:trPr>
          <w:trHeight w:val="828"/>
        </w:trPr>
        <w:tc>
          <w:tcPr>
            <w:tcW w:w="1101" w:type="dxa"/>
            <w:vMerge/>
          </w:tcPr>
          <w:p w:rsidR="00920DC5" w:rsidRPr="00DC18B6" w:rsidRDefault="00920DC5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56D1" w:rsidRPr="00DC18B6" w:rsidRDefault="005434C1" w:rsidP="00984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920DC5"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3.</w:t>
            </w:r>
            <w:r w:rsidR="00C756D1"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0DC5" w:rsidRPr="00DC18B6" w:rsidRDefault="00C756D1" w:rsidP="0098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Тоқтама суларды қайта өңдеу биотехнологиясы. Қала тоқтама суларын қайта өңдеуден қалған тұнбалар. Тоқтама сулардың тұнбаларын анаэробты ашыту арқылы метан газын алу және оларды электр энергиясын алуда қолдану.  </w:t>
            </w:r>
          </w:p>
        </w:tc>
        <w:tc>
          <w:tcPr>
            <w:tcW w:w="992" w:type="dxa"/>
            <w:gridSpan w:val="2"/>
          </w:tcPr>
          <w:p w:rsidR="00920DC5" w:rsidRPr="00DC18B6" w:rsidRDefault="00920DC5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20DC5" w:rsidRPr="00DC18B6" w:rsidRDefault="00920DC5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520" w:type="dxa"/>
            <w:gridSpan w:val="10"/>
          </w:tcPr>
          <w:p w:rsidR="00C71AF9" w:rsidRPr="00B217D2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7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</w:p>
          <w:p w:rsidR="00C71AF9" w:rsidRPr="00B217D2" w:rsidRDefault="00C756D1" w:rsidP="00C756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реттік биомассаларды алу. Жануарлар қалдықтарының биомассасы. Малшаруашылығы қалдықтарын қайта өңдеу.Құс саңғырығы. Малдардың қиларын қайта өңдеу технологиялары.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E630CC">
        <w:trPr>
          <w:trHeight w:val="828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B217D2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1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14.</w:t>
            </w:r>
          </w:p>
          <w:p w:rsidR="00C71AF9" w:rsidRPr="00B217D2" w:rsidRDefault="00C756D1" w:rsidP="00C756D1">
            <w:pPr>
              <w:pStyle w:val="Default"/>
              <w:jc w:val="both"/>
              <w:rPr>
                <w:color w:val="auto"/>
                <w:lang w:val="kk-KZ"/>
              </w:rPr>
            </w:pPr>
            <w:r w:rsidRPr="00B217D2">
              <w:rPr>
                <w:color w:val="auto"/>
                <w:lang w:val="kk-KZ"/>
              </w:rPr>
              <w:t>Малшаруашылық кешендерінің қалдықтарын микробиологиялық өңдеу. Ет өндірісін</w:t>
            </w:r>
            <w:r w:rsidR="001B71F2" w:rsidRPr="00B217D2">
              <w:rPr>
                <w:color w:val="auto"/>
                <w:lang w:val="kk-KZ"/>
              </w:rPr>
              <w:t>дегі қайта өңдеу биотехнологиясы.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71AF9" w:rsidRPr="00DC18B6" w:rsidTr="00E630CC">
        <w:tc>
          <w:tcPr>
            <w:tcW w:w="1101" w:type="dxa"/>
            <w:vMerge w:val="restart"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520" w:type="dxa"/>
            <w:gridSpan w:val="10"/>
          </w:tcPr>
          <w:p w:rsidR="00C71AF9" w:rsidRPr="00B217D2" w:rsidRDefault="00C71AF9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7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</w:p>
          <w:p w:rsidR="00C71AF9" w:rsidRPr="00B217D2" w:rsidRDefault="00C756D1" w:rsidP="00C756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реттік биомассаларды алу. Жануарлар қалдықтарының биомассасы. Сүт өнімдерінің қалдықтарын қайта өңдеу биотехнологиясы. 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1AF9" w:rsidRPr="00DC18B6" w:rsidTr="00C756D1">
        <w:trPr>
          <w:trHeight w:val="651"/>
        </w:trPr>
        <w:tc>
          <w:tcPr>
            <w:tcW w:w="1101" w:type="dxa"/>
            <w:vMerge/>
          </w:tcPr>
          <w:p w:rsidR="00C71AF9" w:rsidRPr="00DC18B6" w:rsidRDefault="00C71AF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C71AF9" w:rsidRPr="00DC18B6" w:rsidRDefault="00C71AF9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15.</w:t>
            </w:r>
          </w:p>
          <w:p w:rsidR="00C71AF9" w:rsidRPr="00DC18B6" w:rsidRDefault="00C756D1" w:rsidP="00C756D1">
            <w:pPr>
              <w:pStyle w:val="Default"/>
              <w:jc w:val="both"/>
              <w:rPr>
                <w:lang w:val="kk-KZ"/>
              </w:rPr>
            </w:pPr>
            <w:r w:rsidRPr="00DC18B6">
              <w:rPr>
                <w:lang w:val="kk-KZ"/>
              </w:rPr>
              <w:t>Сүт және сүт өнімдерінің өндіру</w:t>
            </w:r>
            <w:r w:rsidR="005458B3">
              <w:rPr>
                <w:lang w:val="kk-KZ"/>
              </w:rPr>
              <w:t xml:space="preserve">дегі қайта өңдеу </w:t>
            </w:r>
            <w:r w:rsidRPr="00DC18B6">
              <w:rPr>
                <w:lang w:val="kk-KZ"/>
              </w:rPr>
              <w:t xml:space="preserve"> биотехнологиясы.</w:t>
            </w:r>
          </w:p>
        </w:tc>
        <w:tc>
          <w:tcPr>
            <w:tcW w:w="992" w:type="dxa"/>
            <w:gridSpan w:val="2"/>
          </w:tcPr>
          <w:p w:rsidR="00C71AF9" w:rsidRPr="00DC18B6" w:rsidRDefault="00C71AF9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C71AF9" w:rsidRPr="00DC18B6" w:rsidRDefault="00C71AF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D81379" w:rsidRPr="00DC18B6" w:rsidTr="00E630CC">
        <w:trPr>
          <w:trHeight w:val="218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D81379" w:rsidP="00920DC5">
            <w:pPr>
              <w:pStyle w:val="Default"/>
              <w:rPr>
                <w:b/>
                <w:highlight w:val="green"/>
                <w:lang w:val="kk-KZ"/>
              </w:rPr>
            </w:pPr>
            <w:r w:rsidRPr="00DC18B6">
              <w:rPr>
                <w:b/>
                <w:lang w:val="kk-KZ"/>
              </w:rPr>
              <w:t>Аралық бақылау 2.</w:t>
            </w:r>
            <w:r w:rsidR="00195A31" w:rsidRPr="00DC18B6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D81379" w:rsidRPr="00DC18B6" w:rsidTr="00E630CC">
        <w:trPr>
          <w:trHeight w:val="414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D81379" w:rsidP="00E45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81379" w:rsidRPr="00DC18B6" w:rsidTr="00E630CC">
        <w:trPr>
          <w:trHeight w:val="414"/>
        </w:trPr>
        <w:tc>
          <w:tcPr>
            <w:tcW w:w="1101" w:type="dxa"/>
            <w:vMerge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gridSpan w:val="10"/>
          </w:tcPr>
          <w:p w:rsidR="00D81379" w:rsidRPr="00DC18B6" w:rsidRDefault="00D81379" w:rsidP="00E45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92" w:type="dxa"/>
            <w:gridSpan w:val="2"/>
          </w:tcPr>
          <w:p w:rsidR="00D81379" w:rsidRPr="00DC18B6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81379" w:rsidRPr="00DC18B6" w:rsidRDefault="00D81379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bookmarkEnd w:id="0"/>
    </w:tbl>
    <w:p w:rsidR="00D81379" w:rsidRPr="00DC18B6" w:rsidRDefault="00D81379" w:rsidP="00E45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A60" w:rsidRPr="00DC18B6" w:rsidRDefault="00E45A60" w:rsidP="00E45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1EF3" w:rsidRDefault="007C1EF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Биология және биотехнология </w:t>
      </w:r>
    </w:p>
    <w:p w:rsidR="005637A5" w:rsidRPr="00DC18B6" w:rsidRDefault="007C1EF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факультетінің деканы б.ғ.д.,  профессор                                   </w:t>
      </w:r>
      <w:r w:rsidR="0066100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Заядан Б.К.</w:t>
      </w:r>
    </w:p>
    <w:p w:rsidR="00ED5009" w:rsidRDefault="00ED5009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1003" w:rsidRDefault="0066100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1003" w:rsidRDefault="0066100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1003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төрайымы, </w:t>
      </w:r>
    </w:p>
    <w:p w:rsidR="00661003" w:rsidRPr="00661003" w:rsidRDefault="0066100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1003">
        <w:rPr>
          <w:rFonts w:ascii="Times New Roman" w:hAnsi="Times New Roman" w:cs="Times New Roman"/>
          <w:sz w:val="24"/>
          <w:szCs w:val="24"/>
          <w:lang w:val="kk-KZ"/>
        </w:rPr>
        <w:t xml:space="preserve">б.ғ.к., доцент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 xml:space="preserve">Жұмабаева Б.Ә.                           </w:t>
      </w:r>
    </w:p>
    <w:p w:rsidR="00661003" w:rsidRPr="00661003" w:rsidRDefault="0066100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6100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</w:p>
    <w:p w:rsidR="00661003" w:rsidRDefault="00661003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37E" w:rsidRPr="00DC18B6" w:rsidRDefault="00E45A60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</w:t>
      </w:r>
    </w:p>
    <w:p w:rsidR="00E45A60" w:rsidRPr="00DC18B6" w:rsidRDefault="00E4537E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б.ғ.к., доцент                             </w:t>
      </w:r>
      <w:r w:rsidR="00E45A60"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45A60"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45A60"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45A60"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45A60"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6100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45A60" w:rsidRPr="00DC18B6">
        <w:rPr>
          <w:rFonts w:ascii="Times New Roman" w:hAnsi="Times New Roman" w:cs="Times New Roman"/>
          <w:sz w:val="24"/>
          <w:szCs w:val="24"/>
          <w:lang w:val="kk-KZ"/>
        </w:rPr>
        <w:t>Кистаубаева А.С.</w:t>
      </w:r>
    </w:p>
    <w:p w:rsidR="00E4537E" w:rsidRPr="00DC18B6" w:rsidRDefault="00E4537E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5009" w:rsidRPr="00DC18B6" w:rsidRDefault="00ED5009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A60" w:rsidRPr="00DC18B6" w:rsidRDefault="00E45A60" w:rsidP="0066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="00E4537E"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 б.ғ.к.</w:t>
      </w:r>
      <w:r w:rsidR="00BF25C1">
        <w:rPr>
          <w:rFonts w:ascii="Times New Roman" w:hAnsi="Times New Roman" w:cs="Times New Roman"/>
          <w:sz w:val="24"/>
          <w:szCs w:val="24"/>
          <w:lang w:val="kk-KZ"/>
        </w:rPr>
        <w:t>, доцент м.а.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6100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Сыдыкбекова Р.К. </w:t>
      </w:r>
    </w:p>
    <w:p w:rsidR="00B757BE" w:rsidRPr="00DC18B6" w:rsidRDefault="00B757BE" w:rsidP="00E4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Pr="00DC18B6" w:rsidRDefault="00957C4A" w:rsidP="00B7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7C4A" w:rsidRPr="00DC18B6" w:rsidSect="0079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CDF"/>
    <w:multiLevelType w:val="hybridMultilevel"/>
    <w:tmpl w:val="15CCA59A"/>
    <w:lvl w:ilvl="0" w:tplc="E628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26717"/>
    <w:multiLevelType w:val="hybridMultilevel"/>
    <w:tmpl w:val="268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C52"/>
    <w:multiLevelType w:val="hybridMultilevel"/>
    <w:tmpl w:val="CCA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34B"/>
    <w:multiLevelType w:val="hybridMultilevel"/>
    <w:tmpl w:val="328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298"/>
    <w:multiLevelType w:val="hybridMultilevel"/>
    <w:tmpl w:val="A3F8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40B1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65AD0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E0FF7"/>
    <w:multiLevelType w:val="hybridMultilevel"/>
    <w:tmpl w:val="788C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1582"/>
    <w:multiLevelType w:val="hybridMultilevel"/>
    <w:tmpl w:val="7CBA53F6"/>
    <w:lvl w:ilvl="0" w:tplc="2AB27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62C2512"/>
    <w:multiLevelType w:val="hybridMultilevel"/>
    <w:tmpl w:val="CCA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63F2F"/>
    <w:multiLevelType w:val="multilevel"/>
    <w:tmpl w:val="81D084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95B96"/>
    <w:multiLevelType w:val="hybridMultilevel"/>
    <w:tmpl w:val="9C16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B6588"/>
    <w:rsid w:val="0000542A"/>
    <w:rsid w:val="00020176"/>
    <w:rsid w:val="00024CB0"/>
    <w:rsid w:val="00042CE7"/>
    <w:rsid w:val="00056DA2"/>
    <w:rsid w:val="00062084"/>
    <w:rsid w:val="00080DDB"/>
    <w:rsid w:val="00084DF6"/>
    <w:rsid w:val="000A402A"/>
    <w:rsid w:val="000B15C2"/>
    <w:rsid w:val="000F55FE"/>
    <w:rsid w:val="001001A0"/>
    <w:rsid w:val="001227CA"/>
    <w:rsid w:val="001247C3"/>
    <w:rsid w:val="00127234"/>
    <w:rsid w:val="001658BA"/>
    <w:rsid w:val="001827FB"/>
    <w:rsid w:val="00193D96"/>
    <w:rsid w:val="00195A31"/>
    <w:rsid w:val="001B6588"/>
    <w:rsid w:val="001B71F2"/>
    <w:rsid w:val="001C0F5B"/>
    <w:rsid w:val="001F4319"/>
    <w:rsid w:val="002005F0"/>
    <w:rsid w:val="002021F5"/>
    <w:rsid w:val="002073E0"/>
    <w:rsid w:val="00215524"/>
    <w:rsid w:val="00220572"/>
    <w:rsid w:val="00222EA8"/>
    <w:rsid w:val="0025370B"/>
    <w:rsid w:val="00272F32"/>
    <w:rsid w:val="002A1C4D"/>
    <w:rsid w:val="002B4489"/>
    <w:rsid w:val="002C187B"/>
    <w:rsid w:val="002F6898"/>
    <w:rsid w:val="00307E0C"/>
    <w:rsid w:val="003123B5"/>
    <w:rsid w:val="00334C6C"/>
    <w:rsid w:val="00352F21"/>
    <w:rsid w:val="003567D3"/>
    <w:rsid w:val="00365C27"/>
    <w:rsid w:val="00375539"/>
    <w:rsid w:val="003806EE"/>
    <w:rsid w:val="003915B6"/>
    <w:rsid w:val="003A4F67"/>
    <w:rsid w:val="003D6294"/>
    <w:rsid w:val="003D7202"/>
    <w:rsid w:val="003F7638"/>
    <w:rsid w:val="0040239B"/>
    <w:rsid w:val="0041447D"/>
    <w:rsid w:val="00426870"/>
    <w:rsid w:val="00455283"/>
    <w:rsid w:val="004A28A2"/>
    <w:rsid w:val="004B6623"/>
    <w:rsid w:val="004B77B1"/>
    <w:rsid w:val="004E739A"/>
    <w:rsid w:val="004F3B7D"/>
    <w:rsid w:val="005434C1"/>
    <w:rsid w:val="005458B3"/>
    <w:rsid w:val="0056315B"/>
    <w:rsid w:val="005637A5"/>
    <w:rsid w:val="00576815"/>
    <w:rsid w:val="005B2CF5"/>
    <w:rsid w:val="00606C21"/>
    <w:rsid w:val="00612573"/>
    <w:rsid w:val="00631374"/>
    <w:rsid w:val="00647ED5"/>
    <w:rsid w:val="00661003"/>
    <w:rsid w:val="006D057A"/>
    <w:rsid w:val="006E1A53"/>
    <w:rsid w:val="006E1AD0"/>
    <w:rsid w:val="00715561"/>
    <w:rsid w:val="00730740"/>
    <w:rsid w:val="0073695F"/>
    <w:rsid w:val="00782ADC"/>
    <w:rsid w:val="0079410C"/>
    <w:rsid w:val="007A0258"/>
    <w:rsid w:val="007A7522"/>
    <w:rsid w:val="007C1EF3"/>
    <w:rsid w:val="007C213E"/>
    <w:rsid w:val="007F31FA"/>
    <w:rsid w:val="008178D0"/>
    <w:rsid w:val="00876D1F"/>
    <w:rsid w:val="008D1B25"/>
    <w:rsid w:val="008F5561"/>
    <w:rsid w:val="00920DC5"/>
    <w:rsid w:val="009378EC"/>
    <w:rsid w:val="00945214"/>
    <w:rsid w:val="00957C4A"/>
    <w:rsid w:val="00963206"/>
    <w:rsid w:val="009748A3"/>
    <w:rsid w:val="00977B19"/>
    <w:rsid w:val="00984950"/>
    <w:rsid w:val="009B3BC4"/>
    <w:rsid w:val="009C35FC"/>
    <w:rsid w:val="00A16885"/>
    <w:rsid w:val="00A207BE"/>
    <w:rsid w:val="00A54D93"/>
    <w:rsid w:val="00A6104C"/>
    <w:rsid w:val="00A61AAC"/>
    <w:rsid w:val="00A753F0"/>
    <w:rsid w:val="00A82971"/>
    <w:rsid w:val="00A906D6"/>
    <w:rsid w:val="00A962A4"/>
    <w:rsid w:val="00AB2C5C"/>
    <w:rsid w:val="00B217D2"/>
    <w:rsid w:val="00B34414"/>
    <w:rsid w:val="00B757BE"/>
    <w:rsid w:val="00BA442C"/>
    <w:rsid w:val="00BD7843"/>
    <w:rsid w:val="00BF25C1"/>
    <w:rsid w:val="00C279C5"/>
    <w:rsid w:val="00C329D6"/>
    <w:rsid w:val="00C40732"/>
    <w:rsid w:val="00C47320"/>
    <w:rsid w:val="00C531CC"/>
    <w:rsid w:val="00C71AF9"/>
    <w:rsid w:val="00C756D1"/>
    <w:rsid w:val="00CC6D41"/>
    <w:rsid w:val="00CE1878"/>
    <w:rsid w:val="00CE2B8D"/>
    <w:rsid w:val="00D22C4B"/>
    <w:rsid w:val="00D53AC4"/>
    <w:rsid w:val="00D646DC"/>
    <w:rsid w:val="00D66B98"/>
    <w:rsid w:val="00D72C88"/>
    <w:rsid w:val="00D81379"/>
    <w:rsid w:val="00D82AA8"/>
    <w:rsid w:val="00DC18B6"/>
    <w:rsid w:val="00DD6D2D"/>
    <w:rsid w:val="00DE4767"/>
    <w:rsid w:val="00E30EC9"/>
    <w:rsid w:val="00E4537E"/>
    <w:rsid w:val="00E45A60"/>
    <w:rsid w:val="00E630CC"/>
    <w:rsid w:val="00E91855"/>
    <w:rsid w:val="00EB0063"/>
    <w:rsid w:val="00ED00D9"/>
    <w:rsid w:val="00ED5009"/>
    <w:rsid w:val="00F27B3E"/>
    <w:rsid w:val="00F819B6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C"/>
  </w:style>
  <w:style w:type="paragraph" w:styleId="1">
    <w:name w:val="heading 1"/>
    <w:basedOn w:val="a"/>
    <w:next w:val="a"/>
    <w:link w:val="10"/>
    <w:qFormat/>
    <w:rsid w:val="00D81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8137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D8137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58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63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73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D8137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137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81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81379"/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rsid w:val="00D813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rsid w:val="00D8137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D8137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"/>
    <w:basedOn w:val="a"/>
    <w:link w:val="ab"/>
    <w:rsid w:val="00D81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8137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81379"/>
    <w:rPr>
      <w:color w:val="0000FF"/>
      <w:u w:val="single"/>
    </w:rPr>
  </w:style>
  <w:style w:type="paragraph" w:styleId="ad">
    <w:name w:val="Title"/>
    <w:basedOn w:val="a"/>
    <w:link w:val="ae"/>
    <w:qFormat/>
    <w:rsid w:val="00D81379"/>
    <w:pPr>
      <w:spacing w:after="0" w:line="240" w:lineRule="auto"/>
      <w:jc w:val="center"/>
    </w:pPr>
    <w:rPr>
      <w:rFonts w:ascii="Times/Kazakh" w:eastAsia="Times New Roman" w:hAnsi="Times/Kazakh" w:cs="Times New Roman"/>
      <w:sz w:val="24"/>
      <w:szCs w:val="20"/>
      <w:lang w:val="en-US" w:eastAsia="ko-KR"/>
    </w:rPr>
  </w:style>
  <w:style w:type="character" w:customStyle="1" w:styleId="ae">
    <w:name w:val="Название Знак"/>
    <w:basedOn w:val="a0"/>
    <w:link w:val="ad"/>
    <w:rsid w:val="00D81379"/>
    <w:rPr>
      <w:rFonts w:ascii="Times/Kazakh" w:eastAsia="Times New Roman" w:hAnsi="Times/Kazakh" w:cs="Times New Roman"/>
      <w:sz w:val="24"/>
      <w:szCs w:val="20"/>
      <w:lang w:val="en-US" w:eastAsia="ko-KR"/>
    </w:rPr>
  </w:style>
  <w:style w:type="paragraph" w:customStyle="1" w:styleId="Default">
    <w:name w:val="Default"/>
    <w:rsid w:val="00D8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A207BE"/>
  </w:style>
  <w:style w:type="paragraph" w:styleId="af">
    <w:name w:val="Balloon Text"/>
    <w:basedOn w:val="a"/>
    <w:link w:val="af0"/>
    <w:uiPriority w:val="99"/>
    <w:semiHidden/>
    <w:unhideWhenUsed/>
    <w:rsid w:val="00A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BE"/>
    <w:rPr>
      <w:rFonts w:ascii="Tahoma" w:hAnsi="Tahoma" w:cs="Tahoma"/>
      <w:sz w:val="16"/>
      <w:szCs w:val="16"/>
    </w:rPr>
  </w:style>
  <w:style w:type="character" w:customStyle="1" w:styleId="ttt">
    <w:name w:val="ttt"/>
    <w:basedOn w:val="a0"/>
    <w:rsid w:val="00455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han_07_77@mail.ru" TargetMode="External"/><Relationship Id="rId5" Type="http://schemas.openxmlformats.org/officeDocument/2006/relationships/hyperlink" Target="mailto:Raihan.Sydykbekova.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cp:lastModifiedBy>user</cp:lastModifiedBy>
  <cp:revision>25</cp:revision>
  <dcterms:created xsi:type="dcterms:W3CDTF">2016-10-18T07:30:00Z</dcterms:created>
  <dcterms:modified xsi:type="dcterms:W3CDTF">2016-10-21T04:44:00Z</dcterms:modified>
</cp:coreProperties>
</file>